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GHEA Grapalat" w:cs="GHEA Grapalat" w:eastAsia="GHEA Grapalat" w:hAnsi="GHEA Grapalat"/>
          <w:b w:val="1"/>
          <w:bCs w:val="1"/>
          <w:sz w:val="28"/>
          <w:szCs w:val="28"/>
        </w:rPr>
      </w:pPr>
      <w:r w:rsidDel="00000000" w:rsidR="00000000" w:rsidRPr="00000000">
        <w:rPr>
          <w:rFonts w:ascii="GHEA Grapalat" w:cs="GHEA Grapalat" w:eastAsia="GHEA Grapalat" w:hAnsi="GHEA Grapalat"/>
          <w:b w:val="1"/>
          <w:bCs w:val="1"/>
          <w:sz w:val="24"/>
          <w:szCs w:val="24"/>
          <w:rtl w:val="0"/>
        </w:rPr>
        <w:t xml:space="preserve">Ագրիվոլտաիկան որպես կայուն գյուղատնտեսության նորարար մոդել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GHEA Grapalat" w:cs="GHEA Grapalat" w:eastAsia="GHEA Grapalat" w:hAnsi="GHEA Grapalat"/>
          <w:b w:val="1"/>
          <w:bCs w:val="1"/>
          <w:sz w:val="28"/>
          <w:szCs w:val="28"/>
        </w:rPr>
      </w:pPr>
      <w:r w:rsidDel="00000000" w:rsidR="00000000" w:rsidRPr="00000000">
        <w:rPr>
          <w:rFonts w:ascii="GHEA Grapalat" w:cs="GHEA Grapalat" w:eastAsia="GHEA Grapalat" w:hAnsi="GHEA Grapalat"/>
          <w:b w:val="1"/>
          <w:bCs w:val="1"/>
          <w:sz w:val="28"/>
          <w:szCs w:val="28"/>
        </w:rPr>
        <w:drawing>
          <wp:inline distB="0" distT="0" distL="0" distR="0">
            <wp:extent cx="3065694" cy="1506418"/>
            <wp:effectExtent b="0" l="0" r="0" t="0"/>
            <wp:docPr id="1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65694" cy="150641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HEA Grapalat" w:cs="GHEA Grapalat" w:eastAsia="GHEA Grapalat" w:hAnsi="GHEA Grapalat"/>
          <w:b w:val="1"/>
          <w:bCs w:val="1"/>
          <w:sz w:val="28"/>
          <w:szCs w:val="28"/>
        </w:rPr>
        <w:drawing>
          <wp:inline distB="0" distT="0" distL="0" distR="0">
            <wp:extent cx="2671004" cy="1481976"/>
            <wp:effectExtent b="0" l="0" r="0" t="0"/>
            <wp:docPr id="3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71004" cy="14819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HEA Grapalat" w:cs="GHEA Grapalat" w:eastAsia="GHEA Grapalat" w:hAnsi="GHEA Grapalat"/>
          <w:b w:val="1"/>
          <w:bCs w:val="1"/>
          <w:sz w:val="28"/>
          <w:szCs w:val="28"/>
          <w:rtl w:val="0"/>
        </w:rPr>
        <w:br w:type="textWrapping"/>
      </w:r>
      <w:r w:rsidDel="00000000" w:rsidR="00000000" w:rsidRPr="00000000">
        <w:rPr>
          <w:rFonts w:ascii="GHEA Grapalat" w:cs="GHEA Grapalat" w:eastAsia="GHEA Grapalat" w:hAnsi="GHEA Grapalat"/>
          <w:b w:val="1"/>
          <w:bCs w:val="1"/>
          <w:sz w:val="28"/>
          <w:szCs w:val="28"/>
        </w:rPr>
        <w:drawing>
          <wp:inline distB="0" distT="0" distL="0" distR="0">
            <wp:extent cx="3061156" cy="1863026"/>
            <wp:effectExtent b="0" l="0" r="0" t="0"/>
            <wp:docPr id="2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61156" cy="186302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GHEA Grapalat" w:cs="GHEA Grapalat" w:eastAsia="GHEA Grapalat" w:hAnsi="GHEA Grapalat"/>
          <w:b w:val="1"/>
          <w:bCs w:val="1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b w:val="1"/>
          <w:bCs w:val="1"/>
          <w:sz w:val="24"/>
          <w:szCs w:val="24"/>
          <w:rtl w:val="0"/>
        </w:rPr>
        <w:t xml:space="preserve">Ներածություն </w:t>
      </w:r>
    </w:p>
    <w:p w:rsidR="00000000" w:rsidDel="00000000" w:rsidP="00000000" w:rsidRDefault="00000000" w:rsidRPr="00000000" w14:paraId="00000004">
      <w:pPr>
        <w:spacing w:line="300" w:lineRule="auto"/>
        <w:jc w:val="both"/>
        <w:rPr/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 Ագրիվոլտաիկան ժամանակակից ինովացիոն մոտեցում է, որը թույլ է տալիս մեկ հողատարածքի վրա համատեղել արևային էներգիայի արտադրությունը և գյուղատնտեսությունը։ Ագրիվոլտաիկ համակարգերի ներդրման հիմնական նպատակներն են՝ ջրային ռեսուրսների խնայողությունը, քանի որ վահանակների ստեղծած շարժական ստվերը նվազեցնում է հողի ջերմաստիճանը և խոնավության գոլորշիացումը՝ կրճատելով ոռոգման ջրի ծախսը մինչև 30-40%-ով, ինչպես նաև մշակաբույսերի պաշտպանությունը արևային այրվածքներից, կարկուտից ու ուժեղ քամիներից: Միևնույն ժամանակ, բույսերի բնական գոլորշիացման շնորհիվ վահանակների տակի միջավայրը սառչում է, ինչը կանխում է արևային մարտկոցների գերտաքացումը և բարձրացնում էլեկտրաէներգիայի արտադրողականությունը 5-10%-ով՝ ֆերմերների համար ստեղծելով անկախ ու կայուն եկամտի աղբյուր: Հայաստանի համար ագրիվոլտաիկան ունի ռազմավարական կարևորություն, քանի որ սահմանափակ վարելահողերի և չորային ու շոգ կլիմայի պայմաններում (օրինակ՝ Արարատյան դաշտում, Վայոց Ձորում կամ Սյունիքում) այս տեխնոլոգիան թույլ է տալիս խնայել դեֆիցիտային ջուրը, բարձրացնել զգայուն մշակաբույսերի (հատապտուղներ, բանջարեղեն) բերքատվությունը, և երկրում արդեն մեկնարկած առաջին գիտական ու պիլոտային ծրագրերը հիմք են դնում էներգետիկապես անկախ և կլիմայակայուն գյուղատնտեսությանը: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jc w:val="both"/>
        <w:rPr>
          <w:rFonts w:ascii="GHEA Grapalat" w:cs="GHEA Grapalat" w:eastAsia="GHEA Grapalat" w:hAnsi="GHEA Grapal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GHEA Grapalat" w:cs="GHEA Grapalat" w:eastAsia="GHEA Grapalat" w:hAnsi="GHEA Grapal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GHEA Grapalat" w:cs="GHEA Grapalat" w:eastAsia="GHEA Grapalat" w:hAnsi="GHEA Grapal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GHEA Grapalat" w:cs="GHEA Grapalat" w:eastAsia="GHEA Grapalat" w:hAnsi="GHEA Grapal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GHEA Grapalat" w:cs="GHEA Grapalat" w:eastAsia="GHEA Grapalat" w:hAnsi="GHEA Grapal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GHEA Grapalat" w:cs="GHEA Grapalat" w:eastAsia="GHEA Grapalat" w:hAnsi="GHEA Grapalat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GHEA Grapalat" w:cs="GHEA Grapalat" w:eastAsia="GHEA Grapalat" w:hAnsi="GHEA Grapalat"/>
          <w:b w:val="1"/>
          <w:bCs w:val="1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b w:val="1"/>
          <w:bCs w:val="1"/>
          <w:sz w:val="24"/>
          <w:szCs w:val="24"/>
          <w:rtl w:val="0"/>
        </w:rPr>
        <w:t xml:space="preserve">Վերլուծություն</w:t>
      </w:r>
    </w:p>
    <w:p w:rsidR="00000000" w:rsidDel="00000000" w:rsidP="00000000" w:rsidRDefault="00000000" w:rsidRPr="00000000" w14:paraId="0000000C">
      <w:pPr>
        <w:jc w:val="both"/>
        <w:rPr>
          <w:rFonts w:ascii="Courier New" w:cs="Courier New" w:eastAsia="Courier New" w:hAnsi="Courier Ne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b w:val="1"/>
          <w:bCs w:val="1"/>
          <w:sz w:val="24"/>
          <w:szCs w:val="24"/>
          <w:rtl w:val="0"/>
        </w:rPr>
        <w:t xml:space="preserve">Ագրիվոլտաիկան որպես կայուն գյուղատնտեսության նորարար մոդել </w:t>
      </w:r>
      <w:r w:rsidDel="00000000" w:rsidR="00000000" w:rsidRPr="00000000">
        <w:rPr>
          <w:rFonts w:ascii="GHEA Grapalat" w:cs="GHEA Grapalat" w:eastAsia="GHEA Grapalat" w:hAnsi="GHEA Grapalat"/>
          <w:b w:val="1"/>
          <w:bCs w:val="1"/>
          <w:color w:val="000000"/>
          <w:sz w:val="24"/>
          <w:szCs w:val="24"/>
          <w:rtl w:val="0"/>
        </w:rPr>
        <w:t xml:space="preserve">Գլոբալ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Fonts w:ascii="GHEA Grapalat" w:cs="GHEA Grapalat" w:eastAsia="GHEA Grapalat" w:hAnsi="GHEA Grapalat"/>
          <w:b w:val="1"/>
          <w:bCs w:val="1"/>
          <w:color w:val="000000"/>
          <w:sz w:val="24"/>
          <w:szCs w:val="24"/>
          <w:rtl w:val="0"/>
        </w:rPr>
        <w:t xml:space="preserve">զարգացումներ և միտումներ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D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Գլոբալ անցումը դեպի վերականգնվող էներգետիկա և պարենային անվտանգության ապահովման հրամայականը ագրիվոլտաիկան վերածել են արագ զարգացող ռազմավարական ուղղության: </w:t>
      </w:r>
    </w:p>
    <w:p w:rsidR="00000000" w:rsidDel="00000000" w:rsidP="00000000" w:rsidRDefault="00000000" w:rsidRPr="00000000" w14:paraId="0000000E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Ագրիվոլտաիկ համակարգերը  հանդիսանում են ժամանակակից կանաչ տնտեսության ամենաարագ աճող և հեռանկարային ուղղություններից մեկը, որը միավորում է արևային էներգիայի արտադրությունը և գյուղատնտեսությունը նույն հողատարածքի վրա: Գլոբալ շուկայի ծավալը 2025 թվականին գնահատվել է 11-15 միլիարդ ԱՄՆ դոլար, իսկ 2026 թվականին արդեն հատում է 14-20 միլիարդ դոլարի սահմանագիծը՝ կանխատեսվող տարեկան բարդ աճի տեմպով մինչև 28-31% առաջիկա տասնամյակում: Այս տեխնոլոգիան լուծում է հողային ռեսուրսների համար մղվող գլոբալ պայքարը՝ միաժամանակ ապահովելով պարենային և էներգետիկ անվտանգություն:</w:t>
      </w:r>
    </w:p>
    <w:p w:rsidR="00000000" w:rsidDel="00000000" w:rsidP="00000000" w:rsidRDefault="00000000" w:rsidRPr="00000000" w14:paraId="0000000F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1. Միջազգային իրավիճակը և շուկայի դինամիկան</w:t>
      </w:r>
    </w:p>
    <w:p w:rsidR="00000000" w:rsidDel="00000000" w:rsidP="00000000" w:rsidRDefault="00000000" w:rsidRPr="00000000" w14:paraId="00000010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Ագրիվոլտաիկայի համաշխարհային աշխարհագրությունը բաշխված է երեք հիմնական կենտրոնների միջև, որտեղ հողատարածքների սահմանափակությունն ու կլիմայական մարտահրավերներն ամենասուրն են: </w:t>
      </w:r>
    </w:p>
    <w:p w:rsidR="00000000" w:rsidDel="00000000" w:rsidP="00000000" w:rsidRDefault="00000000" w:rsidRPr="00000000" w14:paraId="00000011">
      <w:pPr>
        <w:spacing w:line="300" w:lineRule="auto"/>
        <w:jc w:val="both"/>
        <w:rPr>
          <w:rFonts w:ascii="GHEA Grapalat" w:cs="GHEA Grapalat" w:eastAsia="GHEA Grapalat" w:hAnsi="GHEA Grapalat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b w:val="1"/>
          <w:bCs w:val="1"/>
          <w:i w:val="1"/>
          <w:iCs w:val="1"/>
          <w:sz w:val="24"/>
          <w:szCs w:val="24"/>
          <w:rtl w:val="0"/>
        </w:rPr>
        <w:t xml:space="preserve">Հյուսիսային Ամերիկա (35% շուկայի մասնաբաժին)։ </w:t>
      </w:r>
    </w:p>
    <w:p w:rsidR="00000000" w:rsidDel="00000000" w:rsidP="00000000" w:rsidRDefault="00000000" w:rsidRPr="00000000" w14:paraId="00000012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Առաջատարն է շուկայի ծավալով: ԱՄՆ-ում տենդենցը միտված է լայնածավալ արդյունաբերական մասշտաբի  համակարգերի ներդրմանը՝ հատկապես արոտավայրերի (մասնավորապես՝ ոչխարաբուծության) և խոշոր հացահատիկային ցանքատարածությունների համակցմամբ:</w:t>
      </w:r>
    </w:p>
    <w:p w:rsidR="00000000" w:rsidDel="00000000" w:rsidP="00000000" w:rsidRDefault="00000000" w:rsidRPr="00000000" w14:paraId="00000013">
      <w:pPr>
        <w:spacing w:line="300" w:lineRule="auto"/>
        <w:jc w:val="both"/>
        <w:rPr>
          <w:rFonts w:ascii="GHEA Grapalat" w:cs="GHEA Grapalat" w:eastAsia="GHEA Grapalat" w:hAnsi="GHEA Grapalat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b w:val="1"/>
          <w:bCs w:val="1"/>
          <w:i w:val="1"/>
          <w:iCs w:val="1"/>
          <w:sz w:val="24"/>
          <w:szCs w:val="24"/>
          <w:rtl w:val="0"/>
        </w:rPr>
        <w:t xml:space="preserve"> Եվրոպա (29% շուկայի մասնաբաժին)։</w:t>
      </w:r>
    </w:p>
    <w:p w:rsidR="00000000" w:rsidDel="00000000" w:rsidP="00000000" w:rsidRDefault="00000000" w:rsidRPr="00000000" w14:paraId="00000014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 Հանդիսանում է տեխնոլոգիական ստանդարտների և օրենսդրական կարգավորումների գլխավոր նորարարը: Գերմանիան, Ֆրանսիան և Իտալիան ձևավորում են Եվրոպական կանաչ գործարքի  շրջանակում  հատուկ սուբսիդավորման մոդելներ: Ասիա-Խաղաղօվկիանոսյան տարածաշրջան։ Ցուցաբերում է ամենաարագ աճի տեմպերը: Չինաստանն առաջատար է ինտենսիվ ջերմոցային ագրիվոլտաիկ համակարգերի ներդրմամբ, իսկ Ճապոնիան և Հարավային Կորեան կիրառում են  (արևի կիսում) մոդելը՝ փոքր ֆերմերային տնտեսությունների կենսունակությունը պահպանելու համար:</w:t>
      </w:r>
    </w:p>
    <w:p w:rsidR="00000000" w:rsidDel="00000000" w:rsidP="00000000" w:rsidRDefault="00000000" w:rsidRPr="00000000" w14:paraId="00000015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Cambria Math" w:cs="Cambria Math" w:eastAsia="Cambria Math" w:hAnsi="Cambria Math"/>
          <w:sz w:val="24"/>
          <w:szCs w:val="24"/>
          <w:rtl w:val="0"/>
        </w:rPr>
        <w:t xml:space="preserve">․</w:t>
      </w: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 Տեխնոլոգիական վերջին զարգացումները (2025-2026 թթ.)</w:t>
      </w:r>
    </w:p>
    <w:p w:rsidR="00000000" w:rsidDel="00000000" w:rsidP="00000000" w:rsidRDefault="00000000" w:rsidRPr="00000000" w14:paraId="00000016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Տեխնոլոգիական առաջընթացը զգալիորեն նվազեցրել է ագրիվոլտաիկ համակարգերի ինքնարժեքը՝ մոտեցնելով այն ավանդական արևային կայանների արժեքին: Երկկողմանի (Bifacial) պանելները այժմ զբաղեցնում են շուկայի արտադրության ավելի քան 75%-ը: Նրանք կլանում են լույսը թե վերևից, թե գետնից անդրադարձող շերտից, ինչը հիանալի համադրվում է պանելների միջև առկա լայն միջնատարածությունների հետ: Դինամիկ և սմարթ-թրեքերային համակարգերը 2025-2026 թթ. տվյալներով՝ դինամիկ համակարգերը կազմում են շուկայի հասույթի շուրջ 86-87%-ը: Այս համակարգերը, օգտագործելով արհեստական բանականության (AI) ալգորիթմներ, փոխում են պանելների թեքության անկյունը: Նպատակը երկակի է, առավելագույն էներգիա ստանալ, երբ բույսերին լույս պետք չէ և բացել լուսային հոսքը բույսերի ֆոտոսինթեզի ակտիվ փուլերում:  Նորագույն մշակումները թույլ են տալիս պանելներին կլանել միայն արևի լույսի այն ալիքները, որոնք անհրաժեշտ են էլեկտրաէներգիայի համար՝ բույսերի միջով անցկացնելով ֆոտոսինթեզի համար օգտակար սպեկտրը: Հետազոտությունները ցույց են տալիս, որ մասնակի ստվերումը նվազեցնում է ջրի գոլորշիացումը հողից մինչև 20-30%-ով: 2026 թվականի դրությամբ լավագույն արդյունքներն արձանագրվել են հետևյալ խմբերում: Բանջարաբոստանային մշակաբույսեր՝ լոլիկ, պղպեղ, տերևավոր կանաչիներ (հազար, սպանախ): Ստվերային պայմաններում որոշ ընդեղենների մոտ ածխածնի յուրացումն աճել է 15–25%-ով  ջերմային սթրեսի նվազման հաշվին: Պտղատու այգիներ՝ խաղողի վազեր և հատապտուղներ: Պանելները ծառայում են որպես պաշտպանիչ հովանոցներ կարկուտի և ուժեղ քամիների դեմ: Բույսերի խոնավության արտազատումը բնականորեն սառեցնում է վերևում գտնվող արևային պանելները: Սա բարձրացնում է ֆոտովոլտաիկ մոդուլների էներգետիկ արդյունավետությունը 5-10%-ով՝ համեմատած չոր հողի վրա տեղադրված կայանների:</w:t>
      </w:r>
    </w:p>
    <w:p w:rsidR="00000000" w:rsidDel="00000000" w:rsidP="00000000" w:rsidRDefault="00000000" w:rsidRPr="00000000" w14:paraId="00000017">
      <w:pPr>
        <w:spacing w:line="300" w:lineRule="auto"/>
        <w:jc w:val="both"/>
        <w:rPr>
          <w:rFonts w:ascii="GHEA Grapalat" w:cs="GHEA Grapalat" w:eastAsia="GHEA Grapalat" w:hAnsi="GHEA Grapalat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b w:val="1"/>
          <w:bCs w:val="1"/>
          <w:color w:val="000000"/>
          <w:sz w:val="24"/>
          <w:szCs w:val="24"/>
          <w:rtl w:val="0"/>
        </w:rPr>
        <w:t xml:space="preserve">Միջազգային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Fonts w:ascii="GHEA Grapalat" w:cs="GHEA Grapalat" w:eastAsia="GHEA Grapalat" w:hAnsi="GHEA Grapalat"/>
          <w:b w:val="1"/>
          <w:bCs w:val="1"/>
          <w:color w:val="000000"/>
          <w:sz w:val="24"/>
          <w:szCs w:val="24"/>
          <w:rtl w:val="0"/>
        </w:rPr>
        <w:t xml:space="preserve">լավագույն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Fonts w:ascii="GHEA Grapalat" w:cs="GHEA Grapalat" w:eastAsia="GHEA Grapalat" w:hAnsi="GHEA Grapalat"/>
          <w:b w:val="1"/>
          <w:bCs w:val="1"/>
          <w:color w:val="000000"/>
          <w:sz w:val="24"/>
          <w:szCs w:val="24"/>
          <w:rtl w:val="0"/>
        </w:rPr>
        <w:t xml:space="preserve">փորձ</w:t>
      </w:r>
    </w:p>
    <w:p w:rsidR="00000000" w:rsidDel="00000000" w:rsidP="00000000" w:rsidRDefault="00000000" w:rsidRPr="00000000" w14:paraId="00000018">
      <w:pPr>
        <w:spacing w:line="300" w:lineRule="auto"/>
        <w:jc w:val="both"/>
        <w:rPr>
          <w:rFonts w:ascii="GHEA Grapalat" w:cs="GHEA Grapalat" w:eastAsia="GHEA Grapalat" w:hAnsi="GHEA Grapalat"/>
          <w:color w:val="000000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color w:val="000000"/>
          <w:sz w:val="24"/>
          <w:szCs w:val="24"/>
          <w:rtl w:val="0"/>
        </w:rPr>
        <w:t xml:space="preserve">Ագրիվոլտաիկան  ներկայումս դուրս է եկել փորձարկումների փուլից վերածվելով գլոբալ ռազմավարական ուղղության, որը վերակառուցում է վերականգնվող էներգետիկայի և կայուն գյուղատնտեսության փոխհարաբերությունները: Այս տեխնոլոգիայի հաջող մասսայականացումը հիմնված է պետական ճկուն քաղաքականությունների, միջազգային խոշոր նախաձեռնությունների և առաջադեմ ինժեներական նորարարությունների համատեղման վրա, որոնց համակարգային վերլուծությունը թույլ է տալիս հասկանալ դրա իրական տնտեսական և էկոլոգիական պոտենցիալը:</w:t>
      </w:r>
    </w:p>
    <w:p w:rsidR="00000000" w:rsidDel="00000000" w:rsidP="00000000" w:rsidRDefault="00000000" w:rsidRPr="00000000" w14:paraId="00000019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Ագրիվոլտաիկայի հաջող ներդրումը ուղղակիորեն կախված է պետական խրախուսման գործիքակազմից: Միջազգային պրակտիկայում առանձնանում են հետևյալ ռազմավարական մոտեցումները։ </w:t>
      </w:r>
    </w:p>
    <w:p w:rsidR="00000000" w:rsidDel="00000000" w:rsidP="00000000" w:rsidRDefault="00000000" w:rsidRPr="00000000" w14:paraId="0000001A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Ֆրանսիա. Ֆրանսիան առաջին երկրներից է, որն օրենսդրորեն սահմանեց ագրիվոլտաիկայի հստակ իրավական կարգավիճակը: Ըստ ֆրանսիական օրենսդրության՝ արևային կայանը չի կարող վնասել գյուղատնտեսական գործունեությանը, այն պետք է ապահովի կոնկրետ օգուտ (օրինակ՝ պաշտպանություն կարկուտից կամ երաշտից), հակառակ դեպքում զրկվում է արտոնյալ սակագներից: </w:t>
      </w:r>
    </w:p>
    <w:p w:rsidR="00000000" w:rsidDel="00000000" w:rsidP="00000000" w:rsidRDefault="00000000" w:rsidRPr="00000000" w14:paraId="0000001B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Գերմանիա. DIN SPEC 91434 ստանդարտի ներդրմամբ հստակեցվեցին  համակարգերի տեսակները (Բարձր տիպի՝ մեքենաների անցման հնարավորությամբ, և Ցածր տիպի): Գերմանական EEG (Վերականգնվող էներգիայի աղբյուրների մասին օրենք) շրջանակներում ագրիվոլտաիկ նախագծերի համար սահմանվել են հատուկ հավելավճարներ :</w:t>
      </w:r>
    </w:p>
    <w:p w:rsidR="00000000" w:rsidDel="00000000" w:rsidP="00000000" w:rsidRDefault="00000000" w:rsidRPr="00000000" w14:paraId="0000001C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Իտալիա. Իրականացնում է ազգային խոշոր ծրագիր՝ ուղղված դեգրադացված կամ լքված գյուղատնտեսական հողերի վերականգնմանը ագրիվոլտաիկայի միջոցով: Պետությունը տրամադրում է ուղղակի սուբսիդիաներ կապիտալ ծախսերի  համար:</w:t>
      </w:r>
    </w:p>
    <w:p w:rsidR="00000000" w:rsidDel="00000000" w:rsidP="00000000" w:rsidRDefault="00000000" w:rsidRPr="00000000" w14:paraId="0000001D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Ճապոնիա. Ճապոնիայում Գյուղատնտեսության նախարարությունը թույլատրում է արևային պանելների տեղադրումը միայն այն պայմանով, որ բերքատվության անկումը չգերազանցի 20%-ը: Այստեղ զարգանում է «արևի կիսում» կոնցեպտը: Քանի որ ֆերմերային հողերը փոքր են, կառավարությունը խրախուսում է թեթև, բարձր կոնստրուկցիաներով կայանները, որոնց տակ հիմնականում մշակվում է բրինձ, թեյ և կանաչի: Ճապոնիայում գործում է ավելի քան 4,000 անհատական ագրիվոլտաիկ կայան: </w:t>
      </w:r>
    </w:p>
    <w:p w:rsidR="00000000" w:rsidDel="00000000" w:rsidP="00000000" w:rsidRDefault="00000000" w:rsidRPr="00000000" w14:paraId="0000001E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Չինաստան. Չինաստանում ագրիվոլտաիկան սերտորեն կապված է «Աղքատության հաղթահարման» պետական ծրագրերի հետ՝ ապահովելով երկակի եկամուտ գյուղական համայնքների համար: Չինաստանը կենտրոնացած է գերհզոր, մի քանի հարյուր մեգավատտանոց նախագծերի վրա: Գոբի անապատի եզրագծերում և դեգրադացված հողերում տեղադրվում են ագրիվոլտաիկ կայաններ, որոնց տակ աճեցվում են չորադիմացկուն մշակաբույսեր և հատապտուղներ (օրինակ՝ գոջի հատապտուղ): Սա միաժամանակ կանխում է անապատացումը:</w:t>
      </w:r>
    </w:p>
    <w:p w:rsidR="00000000" w:rsidDel="00000000" w:rsidP="00000000" w:rsidRDefault="00000000" w:rsidRPr="00000000" w14:paraId="0000001F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00" w:lineRule="auto"/>
        <w:jc w:val="both"/>
        <w:rPr>
          <w:rFonts w:ascii="GHEA Grapalat" w:cs="GHEA Grapalat" w:eastAsia="GHEA Grapalat" w:hAnsi="GHEA Grapalat"/>
          <w:color w:val="000000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color w:val="000000"/>
          <w:sz w:val="24"/>
          <w:szCs w:val="24"/>
          <w:rtl w:val="0"/>
        </w:rPr>
        <w:t xml:space="preserve">1. Միջազգային նախաձեռնություններ և ծրագրեր</w:t>
      </w:r>
    </w:p>
    <w:p w:rsidR="00000000" w:rsidDel="00000000" w:rsidP="00000000" w:rsidRDefault="00000000" w:rsidRPr="00000000" w14:paraId="00000021">
      <w:pPr>
        <w:spacing w:line="300" w:lineRule="auto"/>
        <w:jc w:val="both"/>
        <w:rPr>
          <w:rFonts w:ascii="GHEA Grapalat" w:cs="GHEA Grapalat" w:eastAsia="GHEA Grapalat" w:hAnsi="GHEA Grapalat"/>
          <w:color w:val="000000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Միջազգային պրակտիկայում արդեն կան տարիների փորձություն անցած խոշորածավալ նախագծեր, որոնք ապացուցել են ագրիվոլտաիկայի տնտեսական և էկոլոգիական կենսունակությունը։ </w:t>
      </w:r>
      <w:r w:rsidDel="00000000" w:rsidR="00000000" w:rsidRPr="00000000">
        <w:rPr>
          <w:rFonts w:ascii="GHEA Grapalat" w:cs="GHEA Grapalat" w:eastAsia="GHEA Grapalat" w:hAnsi="GHEA Grapalat"/>
          <w:color w:val="000000"/>
          <w:sz w:val="24"/>
          <w:szCs w:val="24"/>
          <w:rtl w:val="0"/>
        </w:rPr>
        <w:t xml:space="preserve">Ամենաազդեցիկներից է ԱՄՆ Էներգետիկայի նախարարության կողմից ֆինանսավորվող InSPIRE նախաձեռնությունը (Innovative Site Preparation and Sustainable Landscapes), որը միավորում է տասնյակ փորձարարական կայաններ ամբողջ երկրում՝ ուսումնասիրելով տարբեր կլիմայական գոտիներում ստվերատար մշակաբույսերի աճի դինամիկան և հողի խոնավության պահպանման ցուցանիշները: Եվրոպական միության մակարդակով իրականացվում է Symbiosyst ծրագիրը (Horizon Europe ֆոնդավորմամբ), որի նպատակն է ստեղծել ստանդարտացված լուծումներ, որոնք էսթետիկորեն և էկոլոգիապես անվնաս կերպով կինտեգրվեն եվրոպական լանդշաֆտներին: Իսկ գլոբալ գիտական հանրությանը միավորում է ամենամյա AgriVoltaics World Conference համաժողովը, որտեղ ներկայացվում են Ֆրաունհոֆերի արևային էներգետիկայի համակարգերի ինստիտուտի (Fraunhofer ISE) և ազգային այլ լաբորատորիաների վերջին հետազոտությունները:</w:t>
      </w:r>
    </w:p>
    <w:p w:rsidR="00000000" w:rsidDel="00000000" w:rsidP="00000000" w:rsidRDefault="00000000" w:rsidRPr="00000000" w14:paraId="00000022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 Խաղողագործություն և դինամիկ ագրիվոլտաիկա (Sun Agri նախագիծ, Ֆրանսիա)։ Ֆրանսիական Sun Agri ընկերությունը հարավային շրջաններում հիմնել է աշխարհում առաջին դինամիկ ագրիվոլտաիկ համակարգերը խաղողի այգիների վրա: 4.5 մետր բարձրության վրա տեղադրված արևային վահանակները կառավարվում են արհեստական բանականության ալգորիթմներով: Կլիմայի փոփոխության պատճառով խաղողի այգիները հաճախ տուժում էին չափից ավելի տաքացումից, ինչը բարձրացնում էր շաքարայնությունն ու փոխում գինու համային որակները: Խելացի վահանակների շնորհիվ ամռան պիկ ժամերին ստեղծված ստվերը նվազեցրեց ջերմային սթրեսը, կրճատեց ջրի սպառումը 20-30%-ով, իսկ գարնանային ցրտահարությունների ժամանակ վահանակները հորիզոնական դիրք ընդունելով պահպանեցին հողի ջերմությունը փրկելով բերքը: </w:t>
      </w:r>
    </w:p>
    <w:p w:rsidR="00000000" w:rsidDel="00000000" w:rsidP="00000000" w:rsidRDefault="00000000" w:rsidRPr="00000000" w14:paraId="00000023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</w:rPr>
        <w:drawing>
          <wp:inline distB="0" distT="0" distL="0" distR="0">
            <wp:extent cx="4619625" cy="2771775"/>
            <wp:effectExtent b="0" l="0" r="0" t="0"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2771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Ի տարբերություն ավանդական, ստատիկ արևային կայանների, Sun’Agri-ի տեխնոլոգիան օգտագործում է շարժական (պտտվող) արևային վահանակներ։ Դրանք տեղադրվում են խաղողի վազերից մոտ 4.5 - 5 մետր բարձրության վրա, ինչը թույլ է տալիս, որ գյուղատնտեսական տեխնիկան (տրակտորներ, կոմբայններ) անարգել աշխատի այգում։ Վահանակների թեքության անկյունը իրական ժամանակում կառավարվում է արհեստական բանականության (AI) ալգորիթմներով։ Համակարգը վերլուծում է օդերևութաբանական տվյալները և բույսի վրա տեղադրված սենսորների ցուցմունքները՝ առաջնահերթությունը միշտ տալով խաղողի կենսաբանական կարիքներին, այլ ոչ թե առավելագույն էներգիայի արտադրությանը։ Երբ բույսին արև է պետք, վահանակները թեքվում են լույսը բաց թողնելու համար, իսկ կիզիչ շոգին կամ կարկուտի ժամանակ՝ ստեղծում են պաշտպանիչ ծածկ։</w:t>
      </w:r>
    </w:p>
    <w:p w:rsidR="00000000" w:rsidDel="00000000" w:rsidP="00000000" w:rsidRDefault="00000000" w:rsidRPr="00000000" w14:paraId="00000025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BayWa r.e. Babberich նախագիծը (Նիդերլանդներ) աշխարհում առաջին և խոշորագույն առևտրային Ագրոֆոտովոլտային համակարգերից է, որն ապացուցեց հողի երկակի օգտագործման արդյունավետությունը՝ միաժամանակ արտադրելով մաքուր էներգիա և պաշտպանելով բարձրարժեք մշակաբույսերը: Նախագիծը մեկնարկել է 2020 թվականին Բաբերիխ քաղաքում գտնվող Պիտ Ալբերսի (Piet Albers) ֆերմերային տնտեսությունում գերմանական BayWa r.e. հսկայի և նրա հոլանդական դուստր ձեռնարկության՝ GroenLeven-ի կողմից: </w:t>
      </w:r>
    </w:p>
    <w:p w:rsidR="00000000" w:rsidDel="00000000" w:rsidP="00000000" w:rsidRDefault="00000000" w:rsidRPr="00000000" w14:paraId="00000026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</w:rPr>
        <w:drawing>
          <wp:inline distB="0" distT="0" distL="0" distR="0">
            <wp:extent cx="4581825" cy="2584540"/>
            <wp:effectExtent b="0" l="0" r="0" t="0"/>
            <wp:docPr descr="Agri-PV Header _high res-rt.jpg" id="4" name="image1.jpg"/>
            <a:graphic>
              <a:graphicData uri="http://schemas.openxmlformats.org/drawingml/2006/picture">
                <pic:pic>
                  <pic:nvPicPr>
                    <pic:cNvPr descr="Agri-PV Header _high res-rt.jpg" id="0" name="image1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81825" cy="25845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00" w:lineRule="auto"/>
        <w:jc w:val="both"/>
        <w:rPr>
          <w:rFonts w:ascii="GHEA Grapalat" w:cs="GHEA Grapalat" w:eastAsia="GHEA Grapalat" w:hAnsi="GHEA Grapalat"/>
          <w:color w:val="000000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3.3 հեկտար տարածքով այս ագրո-արևային կայանն ունի 2.67 ՄՎտ պիկային հզորություն (MWp), բաղկացած է 10,250 հատուկ նախագծված արևային վահանակներից և տարեկան արտադրում է այնքան էլեկտրաէներգիա, որը բավարարում է շուրջ 1,250 տեղական տնային տնտեսությունների պահանջարկը: Վահանակների տակ գտնվող հողակտորի վրա հաջողությամբ մշակվում է շուրջ 31,000 թուփ ազնվամորի, ինչը բացառիկ օրինակ է այն բանի, թե ինչպես կարող են էներգետիկան ու գյուղատնտեսությունը գործել սիներգիայի մեջ՝ առանց միմյանց խանգարելու: Այս տեխնոլոգիայի հիմքում ընկած է ավանդական պլաստիկ տնակների ամբողջական փոխարինումը կիսաթափանցիկ ֆոտովոլտային մոդուլներով: Ի տարբերություն ստանդարտ արևային վահանակների, որոնք ամբողջությամբ կլանում են լույսը և իրենց տակ ստեղծում մութ ու անպիտան տարածք, Babberich նախագծում օգտագործվում են հատուկ դիզայնով «ապակի-ապակի» (glass-glass) մոդուլներ: Սրանք բաց են թողնում արևի լույսի մոտավորապես 60%-ը, ինչն անհրաժեշտ և բավարար է ազնվամորու թփերի արդյունավետ ֆոտոսինթեզի, աճի և պտղաբերության համար, մինչդեռ մնացած 40%-ը կլանվում է էլեկտրաէներգիա արտադրելու համար: Վահանակները մոնտաժված են հատուկ ամուր, բարձր հենասյուների վրա, որոնք ապահովում են բավարար բարձրություն և տարածություն, որպեսզի ֆերմերային տրակտորներն ու հավաքող անձնակազմը ազատորեն շարժվեն շարքերի միջով, իսկ օդի բնական շրջանառությունը կանխի խոնավության կուտակումը: Նախագծի տված գլխավոր առավելությունը եղանակային ծայրահեղ դրսևորումների դեմ պաշտպանությունն է, ինչը գնալով ավելի կրիտիկական է դառնում կլիմայի փոփոխության պատճառով: Կոշտ արևային տանիքը ծառայում է որպես հուսալի վահան կարկուտից, տեղատարափ անձրևներից և ուժեղ քամիներից, որոնք նախկինում հաճախ ոչնչացնում էին նուրբ հատապտուղները կամ վնասում պլաստիկ թաղանթները: Ավելին, ամռան շոգ օրերին վահանակները պաշտպանում են բույսերը ուղիղ արևային այրվածքներից և ջերմային սթրեսից՝ դրանց տակ պահպանելով ավելի ցածր, կայուն և բարենպաստ ջերմաստիճան: Վագենինգենի համալսարանի ու հետազոտական կենտրոնի (Wageningen University &amp; Research) կողմից անցկացված երկարամյա մոնիտորինգը ցույց է տվել, որ այս միկրոկլիմայի շնորհիվ հատապտուղների որակը և չափսերը նույնիսկ բարելավվել են, իսկ բերքատվության էական կորուստ չի արձանագրվել: Հողի օգտագործման արդյունավետությունը (Land Use Efficiency) աճել է մոտ 10%-ով, քանի որ վահանակների կառուցվածքը թույլ է տվել ավելի խիտ և երկար շարքեր տնկել, իսկ հողի խոնավությունը պահպանվում է ավելի երկար՝ նվազեցնելով ոռոգման ջրի ծախսը: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00" w:lineRule="auto"/>
        <w:jc w:val="both"/>
        <w:rPr>
          <w:rFonts w:ascii="GHEA Grapalat" w:cs="GHEA Grapalat" w:eastAsia="GHEA Grapalat" w:hAnsi="GHEA Grapalat"/>
          <w:color w:val="000000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color w:val="000000"/>
          <w:sz w:val="24"/>
          <w:szCs w:val="24"/>
          <w:rtl w:val="0"/>
        </w:rPr>
        <w:t xml:space="preserve">Գերմանիայի Մայնց-Բինգեն (Mainz-Bingen) շրջանի էկո-ֆերմաներում Արևային էներգետիկ համակարգերի ֆրաունհոֆերյան ինստիտուտի (Fraunhofer ISE) գիտական աջակցությամբ ներդրված Ագրոֆոտովոլտաիկայի  նախագիծը ներկայացնում է կայուն գյուղատնտեսության և վերականգնվող էներգետիկայի սիներգիայի առաջամարտիկ օրինակ, որը լուծում է հողատարածքների օգտագործման համաշխարհային հակամարտությունը: Այս նորարարական տեխնոլոգիայի հիմքում ընկած է նույն հողակտորի վրա միաժամանակ թե՛ էկոլոգիապես մաքուր սննդամթերքի աճեցումը և թե՛ մաքուր արևային էներգիայի արտադրությունը: Ֆերմաներում տեղադրված բարձրացված և շարժական հատուկ վահանակները նախագծված են այնպես, որ հողատարածքի ավելի քան 85%-ը լիովին ազատ է մնում խոշոր տրակտորների ու գյուղատնտեսական այլ տեխնիկայի անարգել տեղաշարժի և հողագործական աշխատանքների համար:</w:t>
      </w:r>
    </w:p>
    <w:p w:rsidR="00000000" w:rsidDel="00000000" w:rsidP="00000000" w:rsidRDefault="00000000" w:rsidRPr="00000000" w14:paraId="00000029">
      <w:pPr>
        <w:spacing w:line="300" w:lineRule="auto"/>
        <w:jc w:val="both"/>
        <w:rPr>
          <w:rFonts w:ascii="GHEA Grapalat" w:cs="GHEA Grapalat" w:eastAsia="GHEA Grapalat" w:hAnsi="GHEA Grapalat"/>
          <w:color w:val="000000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color w:val="000000"/>
          <w:sz w:val="24"/>
          <w:szCs w:val="24"/>
        </w:rPr>
        <w:drawing>
          <wp:inline distB="0" distT="0" distL="0" distR="0">
            <wp:extent cx="4581525" cy="2819400"/>
            <wp:effectExtent b="0" l="0" r="0" t="0"/>
            <wp:docPr id="7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819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HEA Grapalat" w:cs="GHEA Grapalat" w:eastAsia="GHEA Grapalat" w:hAnsi="GHEA Grapalat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A">
      <w:pPr>
        <w:spacing w:line="300" w:lineRule="auto"/>
        <w:jc w:val="both"/>
        <w:rPr>
          <w:rFonts w:ascii="GHEA Grapalat" w:cs="GHEA Grapalat" w:eastAsia="GHEA Grapalat" w:hAnsi="GHEA Grapalat"/>
          <w:color w:val="000000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color w:val="000000"/>
          <w:sz w:val="24"/>
          <w:szCs w:val="24"/>
          <w:rtl w:val="0"/>
        </w:rPr>
        <w:t xml:space="preserve">Fraunhofer ISE-ի մասնագետների կողմից մշակված լույսի կառավարման և ստվերների սիմուլյացիայի շնորհիվ վահանակների թեքությունը կարող է կառավարվել նույնիսկ սմարթֆոնով՝ ապահովելով բույսերի համար անհրաժեշտ ֆոտոսինթեզի բնական մակարդակը: Այս համակարգը ոչ միայն էներգիա է արտադրում, այլև հանդիսանում է պաշտպանիչ վահան կլիմայական փոփոխությունների դեմ. այն էկո-մշակաբույսերը, հատապտուղներն ու պտղատու ծառերը հուսալիորեն պաշտպանում է կարկուտից, ուժեղ քամիներից ու արևային այրվածքներից: Միաժամանակ, ստեղծված միկրոկլիման մինչև 40%-ով նվազեցնում է ջրի գոլորշիացումը հողից՝ էապես կրճատելով ոռոգման ջրի պահանջարկը չորային ամիսներին, ինչը չափազանց կարևոր է Եվրոպայում հաճախակի դարձած երաշտների պայմաններում: Բացի այդ, նախագիծը բարձրացնում է տնտեսության կայունությունը, քանի որ ֆերմերները ստանում են երկրորդ անկախ եկամտի աղբյուր՝ արտադրված էլեկտրաէներգիան ցանցին վաճառելուց կամ սեփական էներգետիկ կարիքները հոգալուց, իսկ Fraunhofer ISE-ն շարունակաբար գնահատում է համակարգի դրական ազդեցությունը տեղական կենսաբազմազանության վրա:</w:t>
      </w:r>
    </w:p>
    <w:p w:rsidR="00000000" w:rsidDel="00000000" w:rsidP="00000000" w:rsidRDefault="00000000" w:rsidRPr="00000000" w14:paraId="0000002B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Նինսիայի գոջի հատապտուղների ագրիվոլտաիկան  հանդիսանում է աշխարհի խոշորագույն և ամենահայտնի էկոլոգիական նախագծերից մեկը, որտեղ հաջողությամբ միավորվել են արևային էներգետիկան և գյուղատնտեսությունը։ Չինական Baofeng Group և Huawei ընկերությունների կողմից Նինսիայի անապատային գոտում (Դեղին գետի արևելյան ափին) կառուցված այս հսկայական ագրո-արևային կայանն ունի 1 գիգավատ (ԳՎՏ) հզորություն և զբաղեցնում է ավելի քան 100 քառակուսի կիլոմետր տարածք։ </w:t>
      </w:r>
    </w:p>
    <w:p w:rsidR="00000000" w:rsidDel="00000000" w:rsidP="00000000" w:rsidRDefault="00000000" w:rsidRPr="00000000" w14:paraId="0000002C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</w:rPr>
        <w:drawing>
          <wp:inline distB="0" distT="0" distL="0" distR="0">
            <wp:extent cx="4191000" cy="2257425"/>
            <wp:effectExtent b="0" l="0" r="0" t="0"/>
            <wp:docPr id="6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2574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Արևային պանելները տեղադրված են հողից մոտ 3 մետր բարձրության վրա, ինչը հնարավորություն է տալիս դրանց տակ աճեցնել գոջիի թփերը և կիրառել գյուղատնտեսական տեխնիկա։ Վահանակներն օգտագործում են ավտոմատ հետագծման տեխնոլոգիա՝ յուրաքանչյուր 15 րոպեն մեկ փոխելով թեքության անկյունը, ինչը 18.7%-ով բարձրացնում է էներգիայի արտադրողականությունը և ապահովում բույսերի համար անհրաժեշտ ստվերն ու լույսը։</w:t>
      </w:r>
    </w:p>
    <w:p w:rsidR="00000000" w:rsidDel="00000000" w:rsidP="00000000" w:rsidRDefault="00000000" w:rsidRPr="00000000" w14:paraId="0000002E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2. Նորարարական և տեխնոլոգիական լուծումներ</w:t>
      </w:r>
    </w:p>
    <w:p w:rsidR="00000000" w:rsidDel="00000000" w:rsidP="00000000" w:rsidRDefault="00000000" w:rsidRPr="00000000" w14:paraId="0000002F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Ագրիվոլտաիկայի արդյունավետության բարձրացման հիմնական շարժիչ ուժը տեխնոլոգիական նորարարություններն են, որոնք թույլ են տալիս մաքսիմալացնել երկակի հողօգտագործման արդյունավետությունը։ Ուղղահայաց երկկողմանի տեխնոլոգիա։ Այս լուծման դեպքում վահանակները տեղադրվում են ուղղահայաց դիրքով՝ ուղղված արևելք-արևմուտք: Սա հեղափոխական մոտեցում է, քանի որ շարքերի միջև 10-12 մետր ազատ տարածությունը թույլ է տալիս խոշոր տրակտորներին, կոմբայններին և ցանող մեքենաներին աշխատել առանց որևէ սահմանափակման: Էներգետիկ տեսանկյունից այս համակարգերը արտադրության պիկի են հասնում առավոտյան և երեկոյան, երբ ցանցում էլեկտրաէներգիայի պահանջարկն ու գինը ամենաբարձրն են: Արհեստական բանականությամբ կառավարվող թրեքերներ ։ Ժամանակակից ագրիվոլտաիկ համակարգերը չունեն ֆիքսված դիրք: Դրանք օգտագործում են սենսորներ և ԱԲ ալգորիթմներ, որոնք իրական ժամանակում հաշվարկում են թե՛ էներգիայի ստացման, թե՛ բույսի ֆոտոսինթեզի պահանջները: Օրինակ՝ երբ հողի խոնավությունը ցածր է, վահանակները պտտվում են այնպես, որ առավելագույնս ստվերեն հողը՝ կանխելով գոլորշիացումը: Ագրո-ֆոտովոլտային ինտեգրված ջերմոցներ ։ Նորագույն լուծումներից է ջերմոցների տանիքներին հատուկ սպեկտրալ ֆիլտրացմամբ վահանակների տեղադրումը: Այս վահանակները կլանում են միայն լույսի այն ալիքները (օրինակ՝ ուլտրամանուշակագույն կամ ինֆրակարմիր), որոնք բույսերին պետք չեն ֆոտոսինթեզի համար և կարող են առաջացնել այրվածքներ, իսկ օգտակար լույսը անցնում է ներս:</w:t>
      </w:r>
    </w:p>
    <w:p w:rsidR="00000000" w:rsidDel="00000000" w:rsidP="00000000" w:rsidRDefault="00000000" w:rsidRPr="00000000" w14:paraId="00000030">
      <w:pPr>
        <w:jc w:val="both"/>
        <w:rPr>
          <w:rFonts w:ascii="GHEA Grapalat" w:cs="GHEA Grapalat" w:eastAsia="GHEA Grapalat" w:hAnsi="GHEA Grapalat"/>
          <w:b w:val="1"/>
          <w:bCs w:val="1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</w:rPr>
        <w:drawing>
          <wp:inline distB="0" distT="0" distL="0" distR="0">
            <wp:extent cx="4410075" cy="2324100"/>
            <wp:effectExtent b="0" l="0" r="0" t="0"/>
            <wp:docPr id="8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2324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rFonts w:ascii="GHEA Grapalat" w:cs="GHEA Grapalat" w:eastAsia="GHEA Grapalat" w:hAnsi="GHEA Grapalat"/>
          <w:b w:val="1"/>
          <w:bCs w:val="1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b w:val="1"/>
          <w:bCs w:val="1"/>
          <w:sz w:val="24"/>
          <w:szCs w:val="24"/>
          <w:rtl w:val="0"/>
        </w:rPr>
        <w:t xml:space="preserve">Կիրառելիության գնահատում</w:t>
      </w:r>
    </w:p>
    <w:p w:rsidR="00000000" w:rsidDel="00000000" w:rsidP="00000000" w:rsidRDefault="00000000" w:rsidRPr="00000000" w14:paraId="00000032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1. Թեմայի առնչությունը Հայաստանի պայմաններին </w:t>
      </w:r>
    </w:p>
    <w:p w:rsidR="00000000" w:rsidDel="00000000" w:rsidP="00000000" w:rsidRDefault="00000000" w:rsidRPr="00000000" w14:paraId="00000033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Հայաստանի Հանրապետության համար ագրիվոլտաիկայի  ներդրումն ունի ռազմավարական և կենսական նշանակություն: ՀՀ կառավարության էներգետիկայի զարգացման ռազմավարական թիրախների համաձայն՝ նախատեսվում է կտրուկ մեծացնել արևային էներգիայի մասնաբաժինը ընդհանուր արտադրության մեջ: Սակայն, այս թիրախին հասնելու ավանդական էքստենսիվ ճանապարհը (սովորական ցամաքային կայանների կառուցումը) ուղղակիորեն սպառնում է երկրի ագրարային պոտենցիալին։ Հայաստանը դասվում է սակավահող երկրների շարքին, որտեղ առկա է ընդամենը շուրջ 440 հազար հեկտար վարելահող։ Ավելին, տեղական հողային ռեսուրսները գտնվում են էկոլոգիական ճգնաժամի մեջ. Հայաստանի հողերի մոտ 70%-ը կանգնած է անապատացման և դեգրադացման վտանգի առաջ։ Այս պայմաններում ագրիվոլտաիկան միակ տեխնոլոգիական գործիքն է, որը թույլ է տալիս իրագործել էներգետիկ անցման պլանը՝ առանց գյուղատնտեսական շրջանառությունից բերրի հողեր խլելու և դրանց անապատացումը խորացնելու։</w:t>
      </w:r>
    </w:p>
    <w:p w:rsidR="00000000" w:rsidDel="00000000" w:rsidP="00000000" w:rsidRDefault="00000000" w:rsidRPr="00000000" w14:paraId="00000034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2. Ագրիվոլտաիկայի պոտենցիալը Հայաստանում</w:t>
      </w:r>
    </w:p>
    <w:p w:rsidR="00000000" w:rsidDel="00000000" w:rsidP="00000000" w:rsidRDefault="00000000" w:rsidRPr="00000000" w14:paraId="00000035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Հայաստանն օժտված է բնակլիմայական և աշխարհագրական բացառիկ նախադրյալներով, որոնք ագրիվոլտաիկ համակարգերի տնտեսական արդյունավետությունը դարձնում են ավելի բարձր, քան եվրոպական շատ երկրներում։ Հայաստանում 1 մ² հորիզոնական մակերևույթի վրա արևային էներգիայի հոսքի միջին տարեկան արժեքը կազմում է 1720 կՎտժ/մ², իսկ երկրի տարածքի մեկ քառորդում այն գերազանցում է 1850 կՎտժ-ը։ Սա շուրջ 70%-ով բարձր է եվրոպական միջին ցուցանիշից։ Նման պոտենցիալը երաշխավորում է, որ նույնիսկ ագրիվոլտաիկային բնորոշ ոչ ստանդարտ (ուղղահայաց կամ բարձրացված) վահանակների դասավորության դեպքում կայանների օգտակար գործողության գործակիցը (ՕԳԳ) կմնա ռեկորդային բարձր։ </w:t>
        <w:br w:type="textWrapping"/>
        <w:t xml:space="preserve">Լենդ-էֆեկտի մաքսիմալացում (LER), միջազգային հետազոտությունների համաձայն (օրինակ՝ գերմանական Fraunhofer ISE ինստիտուտի տվյալներով)՝ ագրիվոլտաիկան ապահովում է 160-186% հողօգտագործման արդյունավետություն։ Հայաստանի բարձր լուսավորվածության պայմաններում հողի օգտագործման արդյունավետությունը (LER) կարող է գերազանցել 200%-ը՝ ապահովելով էլեկտրաէներգիայի և մշակաբույսերի կատարյալ երկակի ծավալ։ Կլիմայական սիներգիա (Միկրոկլիմայի բարելավում)։ Կլիմայի գլոբալ փոփոխության հետևանքով Հայաստանի ցածրադիր և նախալեռնային շրջաններում ամռանը ջերմաստիճանը հաճախ անցնում է 40°C-ը, ինչն առաջացնում է բույսերի ջերմային սթրես և չափից ավելի գոլորշիացում: Արևային վահանակների ստեղծած ստվերը կպաշտպանի մշակաբույսերը արևային այրվածքներից և կկրճատի ոռոգման ջրի ծախսը 25-30%-ով, ինչը կենսական է ջրային դեֆիցիտի պայմաններում: Բարձրարժեք մշակաբույսերի առկայություն։  Հայաստանի առաջատար ճյուղերը՝ խաղողագործությունը, պտղաբուծությունը (ծիրան, դեղձ) և հատապտուղների (մոշ, ելակ, ազնվամորի) ինտենսիվ այգիները, իդեալականորեն համատեղելի են ագրիվոլտաիկ համակարգերի հետ:</w:t>
      </w:r>
    </w:p>
    <w:p w:rsidR="00000000" w:rsidDel="00000000" w:rsidP="00000000" w:rsidRDefault="00000000" w:rsidRPr="00000000" w14:paraId="00000036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3. Առկա մարտահրավերների համակարգված վերլուծություն</w:t>
      </w:r>
    </w:p>
    <w:p w:rsidR="00000000" w:rsidDel="00000000" w:rsidP="00000000" w:rsidRDefault="00000000" w:rsidRPr="00000000" w14:paraId="00000037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Չնայած ակնհայտ առավելություններին, համակարգերի մասշտաբային ներդրումը Հայաստանում արգելակվում է մի շարք հիմնարար խնդիրների պատճառով։ Օրենսդրական կատեգորիաների պատնեշը ՀՀ-ում գործող «Էներգետիկայի մասին» օրենքը և հողային օրենսգիրքը չեն ճանաչում համատեղված հողօգտագործումը։ Արևային վահանակ տեղադրելու համար հողի նպատակային նշանակությունը պետք է փոխվի «էներգետիկայի օբյեկտների», ինչի հետևանքով տարածքը զրկվում է գյուղատնտեսական կարգավիճակից։ Սա իրավական կոլիզիա է ստեղծում ֆերմերների համար, ովքեր ցանկանում են և հոսանք արտադրել, և պահպանել պետական ագրարային սուբսիդիաները։ Կապիտալի բարձր արժեքը և ֆինանսավորման բացը։ Ագրիվոլտաիկայի կառուցվածքային առանձնահատկությունները (3.5 - 4.5 մետր բարձրությամբ ամրացված հենարաններ)։ Հայաստանում գործող փոքր ֆերմերային տնտեսությունների մեծ մասը չունի բավարար սեփական կապիտալ կամ հասանելիություն էժան երկարաժամկետ վարկերին՝ նման ներդրումներ ինքնուրույն իրականացնելու համար։ Գիտելիքի և փորձի պակաս։  Տեղական ֆերմերներն ու ագրոնոմները չունեն բավարար գիտելիքներ այն մասին, թե որ մշակաբույսերը և ինչպիսի խտությամբ պետք է ցանել վահանակների տակ, իսկ էներգետիկ ընկերությունները չգիտեն, թե ինչպես նախագծել կայանը՝ գյուղտեխնիկայի ազատ տեղաշարժը չխոչընդոտելու համար:</w:t>
      </w:r>
    </w:p>
    <w:p w:rsidR="00000000" w:rsidDel="00000000" w:rsidP="00000000" w:rsidRDefault="00000000" w:rsidRPr="00000000" w14:paraId="00000038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4. Ագրիվոլտաիկ համակարգերի տեղայնացումը՝ ըստ Հայաստանի բնակլիմայական գոտիների</w:t>
      </w:r>
    </w:p>
    <w:p w:rsidR="00000000" w:rsidDel="00000000" w:rsidP="00000000" w:rsidRDefault="00000000" w:rsidRPr="00000000" w14:paraId="00000039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Հայաստանի ռելիեֆի բարդությունը և ուղղահայաց գոտիականությունը պահանջում են ագրիվոլտաիկ տեխնոլոգիաների խիստ հարմարեցված կիրառում։ Առանձնացվում են երեք հիմնական գոտիները, դրանց տեխնիկական լուծումներն ու նպատակները։</w:t>
      </w:r>
    </w:p>
    <w:p w:rsidR="00000000" w:rsidDel="00000000" w:rsidP="00000000" w:rsidRDefault="00000000" w:rsidRPr="00000000" w14:paraId="0000003A">
      <w:pPr>
        <w:spacing w:line="30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Ցածրադիր և չոր մերձարևադարձային գոտի (Արարատյան դաշտավայր, Սյունիքի հովիտներ)։ Այստեղ կիրառվում են կիսաթափանցիկ ֆոտովոլտային մոդուլներով բարձրացված դինամիկ համակարգեր։ Դրանց ապահոված օպտիմալ ստվերումը կրճատում է հողի ջերմաստիճանը 8-12°C-ով, իսկ ջրի գոլորշիացումը՝ մինչև 35%-ով։ Սա իդեալական է ինտենսիվ պտղատու այգիների (ծիրան, դեղձ, կեռաս) և բարձրարժեք հատապտուղների (մոշ, ելակ, ազնվամորի) համար, քանի որ կանխում է պտուղների արևային այրվածքները և երկարացնում վեգետացիայի շրջանը։Նախալեռնային և չորային կիսաանապատային գոտի (Կոտայք, Արագածոտն, Վայոց Ձոր)։ Այս շրջաններում ներդրվում են խելացի թրեքերային համակարգեր՝ կարկտապաշտպան և քամուց պաշտպանության ավտոմատացված ռեժիմներով։ Տեխնոլոգիան կատարյալ է խաղողագործության (հատկապես տեղական էնդեմիկ սորտերի՝ Արենիի, Ոսկեհատի) համար, որտեղ վահանակները միաժամանակ ծառայում են որպես կառուցվածքային հենարան (շպալեր) վազերի համար։ Գարնանը վահանակները ընդունում են հորիզոնական դիրք և գիշերը թակարդում հողի ջերմությունը՝ նվազեցնելով ցրտահարության ռիսկը։Չափավոր խոնավ և լեռնային գոտի (Լոռի, Տավուշ, Շիրակ, Գեղարքունիք)։ Այստեղ օգտագործվում են ուղղահայաց երկկողմանի (Vertical Bifacial) համակարգեր՝ արևելք-արևմուտք ուղղվածությամբ։ Այս դասավորությունը թույլ է տալիս, որ ձմռանը ձյունը չկուտակվի մակերեսին, իսկ շարքերի միջև թողնված 12 մետր տարածությունը հնարավորություն է տալիս խոտհնձիչ տեխնիկային ազատ աշխատել։ Սա նպաստում է կերային մշակաբույսերի (առվույտ, կորնգան) արդյունավետ աճեցմանը և արոտավայրային անասնապահության (ոչխարաբուծության) զարգացմանը։</w:t>
      </w:r>
    </w:p>
    <w:p w:rsidR="00000000" w:rsidDel="00000000" w:rsidP="00000000" w:rsidRDefault="00000000" w:rsidRPr="00000000" w14:paraId="0000003B">
      <w:pPr>
        <w:spacing w:line="300" w:lineRule="auto"/>
        <w:jc w:val="both"/>
        <w:rPr>
          <w:rFonts w:ascii="GHEA Grapalat" w:cs="GHEA Grapalat" w:eastAsia="GHEA Grapalat" w:hAnsi="GHEA Grapalat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ffffff" w:val="clear"/>
        <w:spacing w:after="0" w:lineRule="auto"/>
        <w:jc w:val="both"/>
        <w:rPr>
          <w:rFonts w:ascii="GHEA Grapalat" w:cs="GHEA Grapalat" w:eastAsia="GHEA Grapalat" w:hAnsi="GHEA Grapalat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b w:val="1"/>
          <w:bCs w:val="1"/>
          <w:color w:val="000000"/>
          <w:sz w:val="24"/>
          <w:szCs w:val="24"/>
          <w:rtl w:val="0"/>
        </w:rPr>
        <w:t xml:space="preserve">Եզրակացություններ</w:t>
      </w:r>
    </w:p>
    <w:p w:rsidR="00000000" w:rsidDel="00000000" w:rsidP="00000000" w:rsidRDefault="00000000" w:rsidRPr="00000000" w14:paraId="0000003D">
      <w:pPr>
        <w:shd w:fill="ffffff" w:val="clear"/>
        <w:spacing w:after="0" w:line="300" w:lineRule="auto"/>
        <w:jc w:val="both"/>
        <w:rPr>
          <w:rFonts w:ascii="GHEA Grapalat" w:cs="GHEA Grapalat" w:eastAsia="GHEA Grapalat" w:hAnsi="GHEA Grapalat"/>
          <w:color w:val="000000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color w:val="000000"/>
          <w:sz w:val="24"/>
          <w:szCs w:val="24"/>
          <w:rtl w:val="0"/>
        </w:rPr>
        <w:t xml:space="preserve">Ագրիվոլտաիկ համակարգերի  գլոբալ զարգացման միտումների, պետական քաղաքականությունների և տեխնոլոգիական նորարարությունների համակարգային վերլուծությունը հստակորեն ապացուցում է, որ այս ուղղությունը դուրս է եկել լոկալ փորձարկումների փուլից՝ վերածվելով կայուն հողօգտագործման և կլիմայական դիմակայունության ռազմավարական գործիքի, որը հաջողությամբ լուծում է «պարեն-էներգիա-ջուր» եռակողմ ճգնաժամը և վերացնում հողատարածքների համար մրցակցությունը: Միջազգային հաջողված փորձի գործնական օրինակները հաստատում են այս տեխնոլոգիայի բարձր կենսունակությունը տարբեր կլիմայական գոտիներում։ </w:t>
      </w:r>
    </w:p>
    <w:p w:rsidR="00000000" w:rsidDel="00000000" w:rsidP="00000000" w:rsidRDefault="00000000" w:rsidRPr="00000000" w14:paraId="0000003E">
      <w:pPr>
        <w:shd w:fill="ffffff" w:val="clear"/>
        <w:spacing w:after="0" w:line="300" w:lineRule="auto"/>
        <w:jc w:val="both"/>
        <w:rPr>
          <w:rFonts w:ascii="GHEA Grapalat" w:cs="GHEA Grapalat" w:eastAsia="GHEA Grapalat" w:hAnsi="GHEA Grapalat"/>
          <w:color w:val="000000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color w:val="000000"/>
          <w:sz w:val="24"/>
          <w:szCs w:val="24"/>
          <w:rtl w:val="0"/>
        </w:rPr>
        <w:t xml:space="preserve">Տնտեսական գնահատականների համաձայն՝ չնայած ագրիվոլտաիկ համակարգերի սկզբնական կապիտալ ծախսերը 15-25%-ով ավելի բարձր են՝ բարձր ու ամրացված հենասյուների պատճառով, նախագծերի հետգնման ժամկետը կրճատվում է մինչև 5-7 տարի, քանի որ ֆերմերը ստանում է եկամտի եռակի դիվերսիֆիկացված հենարան՝ բարձրարժեք մշակաբույսերի (մոշ, ելակ, հազար, բրոկոլի) կայուն բերքատվությունից, սեփական էներգետիկ ծախսերի զրոյացումից (ոռոգում, սառնարաններ) ու ավելցուկային հոսանքի վաճառքից, և միջազգային կամավորական շուկաներում  «ածխածնային կրեդիտների» վաճառքից՝ հողում CO₂-ի հավաստագրված կլանման դիմաց: </w:t>
      </w:r>
    </w:p>
    <w:p w:rsidR="00000000" w:rsidDel="00000000" w:rsidP="00000000" w:rsidRDefault="00000000" w:rsidRPr="00000000" w14:paraId="0000003F">
      <w:pPr>
        <w:shd w:fill="ffffff" w:val="clear"/>
        <w:spacing w:after="0" w:lineRule="auto"/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both"/>
        <w:rPr>
          <w:rFonts w:ascii="GHEA Grapalat" w:cs="GHEA Grapalat" w:eastAsia="GHEA Grapalat" w:hAnsi="GHEA Grapalat"/>
          <w:b w:val="1"/>
          <w:bCs w:val="1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b w:val="1"/>
          <w:bCs w:val="1"/>
          <w:sz w:val="24"/>
          <w:szCs w:val="24"/>
          <w:rtl w:val="0"/>
        </w:rPr>
        <w:t xml:space="preserve">Օգտագործված գրականության ցանկ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GHEA Grapalat" w:cs="GHEA Grapalat" w:eastAsia="GHEA Grapalat" w:hAnsi="GHEA Grapal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15">
        <w:r w:rsidDel="00000000" w:rsidR="00000000" w:rsidRPr="00000000">
          <w:rPr>
            <w:rFonts w:ascii="GHEA Grapalat" w:cs="GHEA Grapalat" w:eastAsia="GHEA Grapalat" w:hAnsi="GHEA Grapalat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https://mineconomy.am/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GHEA Grapalat" w:cs="GHEA Grapalat" w:eastAsia="GHEA Grapalat" w:hAnsi="GHEA Grapal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16">
        <w:r w:rsidDel="00000000" w:rsidR="00000000" w:rsidRPr="00000000">
          <w:rPr>
            <w:rFonts w:ascii="GHEA Grapalat" w:cs="GHEA Grapalat" w:eastAsia="GHEA Grapalat" w:hAnsi="GHEA Grapalat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https://energyagency.am/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GHEA Grapalat" w:cs="GHEA Grapalat" w:eastAsia="GHEA Grapalat" w:hAnsi="GHEA Grapal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17">
        <w:r w:rsidDel="00000000" w:rsidR="00000000" w:rsidRPr="00000000">
          <w:rPr>
            <w:rFonts w:ascii="GHEA Grapalat" w:cs="GHEA Grapalat" w:eastAsia="GHEA Grapalat" w:hAnsi="GHEA Grapalat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https://www.terli.net/hy/blog/agrivoltaics.html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GHEA Grapalat" w:cs="GHEA Grapalat" w:eastAsia="GHEA Grapalat" w:hAnsi="GHEA Grapal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18">
        <w:r w:rsidDel="00000000" w:rsidR="00000000" w:rsidRPr="00000000">
          <w:rPr>
            <w:rFonts w:ascii="GHEA Grapalat" w:cs="GHEA Grapalat" w:eastAsia="GHEA Grapalat" w:hAnsi="GHEA Grapalat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https://www.weforum.org/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GHEA Grapalat" w:cs="GHEA Grapalat" w:eastAsia="GHEA Grapalat" w:hAnsi="GHEA Grapal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19">
        <w:r w:rsidDel="00000000" w:rsidR="00000000" w:rsidRPr="00000000">
          <w:rPr>
            <w:rFonts w:ascii="GHEA Grapalat" w:cs="GHEA Grapalat" w:eastAsia="GHEA Grapalat" w:hAnsi="GHEA Grapalat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https://en.wikipedia.org/wiki/Agrivoltaics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GHEA Grapalat" w:cs="GHEA Grapalat" w:eastAsia="GHEA Grapalat" w:hAnsi="GHEA Grapal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20">
        <w:r w:rsidDel="00000000" w:rsidR="00000000" w:rsidRPr="00000000">
          <w:rPr>
            <w:rFonts w:ascii="GHEA Grapalat" w:cs="GHEA Grapalat" w:eastAsia="GHEA Grapalat" w:hAnsi="GHEA Grapalat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https://www.halliburton.com/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GHEA Grapalat" w:cs="GHEA Grapalat" w:eastAsia="GHEA Grapalat" w:hAnsi="GHEA Grapal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21">
        <w:r w:rsidDel="00000000" w:rsidR="00000000" w:rsidRPr="00000000">
          <w:rPr>
            <w:rFonts w:ascii="GHEA Grapalat" w:cs="GHEA Grapalat" w:eastAsia="GHEA Grapalat" w:hAnsi="GHEA Grapalat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https://en.wikipedia.org/wiki/Carbon_farming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GHEA Grapalat" w:cs="GHEA Grapalat" w:eastAsia="GHEA Grapalat" w:hAnsi="GHEA Grapal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22">
        <w:r w:rsidDel="00000000" w:rsidR="00000000" w:rsidRPr="00000000">
          <w:rPr>
            <w:rFonts w:ascii="GHEA Grapalat" w:cs="GHEA Grapalat" w:eastAsia="GHEA Grapalat" w:hAnsi="GHEA Grapalat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https://www.carboncycle.org/what-is-carbon-farming/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GHEA Grapalat" w:cs="GHEA Grapalat" w:eastAsia="GHEA Grapalat" w:hAnsi="GHEA Grapal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23">
        <w:r w:rsidDel="00000000" w:rsidR="00000000" w:rsidRPr="00000000">
          <w:rPr>
            <w:rFonts w:ascii="GHEA Grapalat" w:cs="GHEA Grapalat" w:eastAsia="GHEA Grapalat" w:hAnsi="GHEA Grapalat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https://www.senken.io/academy/regulation-and-standards/crcf-carbon-removal-certification-framework</w:t>
        </w:r>
      </w:hyperlink>
      <w:r w:rsidDel="00000000" w:rsidR="00000000" w:rsidRPr="00000000">
        <w:rPr>
          <w:rFonts w:ascii="GHEA Grapalat" w:cs="GHEA Grapalat" w:eastAsia="GHEA Grapalat" w:hAnsi="GHEA Grapal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A">
      <w:pPr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Ռաֆայել Հակոբյան, </w:t>
      </w:r>
      <w:hyperlink r:id="rId24">
        <w:r w:rsidDel="00000000" w:rsidR="00000000" w:rsidRPr="00000000">
          <w:rPr>
            <w:rFonts w:ascii="GHEA Grapalat" w:cs="GHEA Grapalat" w:eastAsia="GHEA Grapalat" w:hAnsi="GHEA Grapalat"/>
            <w:color w:val="0000ff"/>
            <w:sz w:val="24"/>
            <w:szCs w:val="24"/>
            <w:u w:val="single"/>
            <w:rtl w:val="0"/>
          </w:rPr>
          <w:t xml:space="preserve">rafayelhakobyan.epiu@gmail.com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both"/>
        <w:rPr>
          <w:rFonts w:ascii="GHEA Grapalat" w:cs="GHEA Grapalat" w:eastAsia="GHEA Grapalat" w:hAnsi="GHEA Grapalat"/>
          <w:sz w:val="24"/>
          <w:szCs w:val="24"/>
        </w:rPr>
      </w:pPr>
      <w:r w:rsidDel="00000000" w:rsidR="00000000" w:rsidRPr="00000000">
        <w:rPr>
          <w:rFonts w:ascii="GHEA Grapalat" w:cs="GHEA Grapalat" w:eastAsia="GHEA Grapalat" w:hAnsi="GHEA Grapalat"/>
          <w:sz w:val="24"/>
          <w:szCs w:val="24"/>
          <w:rtl w:val="0"/>
        </w:rPr>
        <w:t xml:space="preserve">Ծրագրերի իրականացման և մոնիթորինգի բաժին </w:t>
      </w:r>
    </w:p>
    <w:sectPr>
      <w:footerReference r:id="rId25" w:type="default"/>
      <w:pgSz w:h="16838" w:w="11906" w:orient="portrait"/>
      <w:pgMar w:bottom="1134" w:top="1134" w:left="1350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Times New Roman"/>
  <w:font w:name="Georgia"/>
  <w:font w:name="Courier New"/>
  <w:font w:name="GHEA Grapalat"/>
  <w:font w:name="Cambria Math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y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halliburton.com/" TargetMode="External"/><Relationship Id="rId22" Type="http://schemas.openxmlformats.org/officeDocument/2006/relationships/hyperlink" Target="https://www.carboncycle.org/what-is-carbon-farming/" TargetMode="External"/><Relationship Id="rId21" Type="http://schemas.openxmlformats.org/officeDocument/2006/relationships/hyperlink" Target="https://en.wikipedia.org/wiki/Carbon_farming" TargetMode="External"/><Relationship Id="rId24" Type="http://schemas.openxmlformats.org/officeDocument/2006/relationships/hyperlink" Target="mailto:rafayelhakobyan.epiu@gmail.com" TargetMode="External"/><Relationship Id="rId23" Type="http://schemas.openxmlformats.org/officeDocument/2006/relationships/hyperlink" Target="https://www.senken.io/academy/regulation-and-standards/crcf-carbon-removal-certification-framework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jpg"/><Relationship Id="rId25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8.jpg"/><Relationship Id="rId8" Type="http://schemas.openxmlformats.org/officeDocument/2006/relationships/image" Target="media/image5.jpg"/><Relationship Id="rId11" Type="http://schemas.openxmlformats.org/officeDocument/2006/relationships/image" Target="media/image1.jpg"/><Relationship Id="rId10" Type="http://schemas.openxmlformats.org/officeDocument/2006/relationships/image" Target="media/image7.png"/><Relationship Id="rId13" Type="http://schemas.openxmlformats.org/officeDocument/2006/relationships/image" Target="media/image6.jpg"/><Relationship Id="rId12" Type="http://schemas.openxmlformats.org/officeDocument/2006/relationships/image" Target="media/image2.jpg"/><Relationship Id="rId15" Type="http://schemas.openxmlformats.org/officeDocument/2006/relationships/hyperlink" Target="https://mineconomy.am/" TargetMode="External"/><Relationship Id="rId14" Type="http://schemas.openxmlformats.org/officeDocument/2006/relationships/image" Target="media/image4.jpg"/><Relationship Id="rId17" Type="http://schemas.openxmlformats.org/officeDocument/2006/relationships/hyperlink" Target="https://www.terli.net/hy/blog/agrivoltaics.html" TargetMode="External"/><Relationship Id="rId16" Type="http://schemas.openxmlformats.org/officeDocument/2006/relationships/hyperlink" Target="https://energyagency.am/" TargetMode="External"/><Relationship Id="rId19" Type="http://schemas.openxmlformats.org/officeDocument/2006/relationships/hyperlink" Target="https://en.wikipedia.org/wiki/Agrivoltaics" TargetMode="External"/><Relationship Id="rId18" Type="http://schemas.openxmlformats.org/officeDocument/2006/relationships/hyperlink" Target="https://www.weforum.org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ChQSghFjoM9/H1L3nqFLXxubww==">CgMxLjA4AHIhMURMR3dpNkdybFpJZUQ2bzUzWGZZVGkyWElmalhCa1NO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